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3.png" ContentType="image/png"/>
  <Override PartName="/word/media/rId10.png" ContentType="image/png"/>
  <Override PartName="/word/media/rId31.png" ContentType="image/png"/>
  <Override PartName="/word/media/rId15.png" ContentType="image/png"/>
  <Override PartName="/word/media/rId27.png" ContentType="image/png"/>
  <Override PartName="/word/media/rId1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42" w:name="流程再造对比图"/>
    <w:p>
      <w:pPr>
        <w:pStyle w:val="Heading1"/>
      </w:pPr>
      <w:r>
        <w:rPr>
          <w:rFonts w:hint="eastAsia"/>
        </w:rPr>
        <w:t xml:space="preserve">09_流程再造对比图</w:t>
      </w:r>
    </w:p>
    <w:bookmarkStart w:id="9" w:name="概述"/>
    <w:p>
      <w:pPr>
        <w:pStyle w:val="Heading2"/>
      </w:pPr>
      <w:r>
        <w:rPr>
          <w:rFonts w:hint="eastAsia"/>
        </w:rPr>
        <w:t xml:space="preserve">概述</w:t>
      </w:r>
    </w:p>
    <w:p>
      <w:pPr>
        <w:pStyle w:val="FirstParagraph"/>
      </w:pPr>
      <w:r>
        <w:rPr>
          <w:rFonts w:hint="eastAsia"/>
        </w:rPr>
        <w:t xml:space="preserve">本文档展示政务服务”一网通办”改革前后核心业务流程的对比，通过可视化方式呈现五大改革事项带来的流程优化效果。</w:t>
      </w:r>
    </w:p>
    <w:p>
      <w:r>
        <w:pict>
          <v:rect style="width:0;height:1.5pt" o:hralign="center" o:hrstd="t" o:hr="t"/>
        </w:pict>
      </w:r>
    </w:p>
    <w:bookmarkEnd w:id="9"/>
    <w:bookmarkStart w:id="14" w:name="改革前后总体流程对比"/>
    <w:p>
      <w:pPr>
        <w:pStyle w:val="Heading2"/>
      </w:pPr>
      <w:r>
        <w:rPr>
          <w:rFonts w:hint="eastAsia"/>
        </w:rPr>
        <w:t xml:space="preserve">改革前后总体流程对比</w:t>
      </w:r>
    </w:p>
    <w:bookmarkStart w:id="13" w:name="群众办事核心流程再造"/>
    <w:p>
      <w:pPr>
        <w:pStyle w:val="Heading3"/>
      </w:pPr>
      <w:r>
        <w:rPr>
          <w:rFonts w:hint="eastAsia"/>
        </w:rPr>
        <w:t xml:space="preserve">群众办事核心流程再造</w:t>
      </w:r>
    </w:p>
    <w:p>
      <w:pPr>
        <w:pStyle w:val="FirstParagraph"/>
      </w:pPr>
      <w:r>
        <w:drawing>
          <wp:inline>
            <wp:extent cx="5486400" cy="4675909"/>
            <wp:effectExtent b="0" l="0" r="0" t="0"/>
            <wp:docPr descr="diagram" title="" id="11" name="Picture"/>
            <a:graphic>
              <a:graphicData uri="http://schemas.openxmlformats.org/drawingml/2006/picture">
                <pic:pic>
                  <pic:nvPicPr>
                    <pic:cNvPr descr="/var/folders/qp/kgh35t792k9gxlvcy01r69pc0000gp/T/resized-d2-7339942664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6759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r>
        <w:pict>
          <v:rect style="width:0;height:1.5pt" o:hralign="center" o:hrstd="t" o:hr="t"/>
        </w:pict>
      </w:r>
    </w:p>
    <w:bookmarkEnd w:id="13"/>
    <w:bookmarkEnd w:id="14"/>
    <w:bookmarkStart w:id="35" w:name="五大改革事项流程对比"/>
    <w:p>
      <w:pPr>
        <w:pStyle w:val="Heading2"/>
      </w:pPr>
      <w:r>
        <w:rPr>
          <w:rFonts w:hint="eastAsia"/>
        </w:rPr>
        <w:t xml:space="preserve">五大改革事项流程对比</w:t>
      </w:r>
    </w:p>
    <w:bookmarkStart w:id="18" w:name="改革事项一事项标准化管理机制"/>
    <w:p>
      <w:pPr>
        <w:pStyle w:val="Heading3"/>
      </w:pPr>
      <w:r>
        <w:rPr>
          <w:rFonts w:hint="eastAsia"/>
        </w:rPr>
        <w:t xml:space="preserve">改革事项一：事项标准化管理机制</w:t>
      </w:r>
    </w:p>
    <w:p>
      <w:pPr>
        <w:pStyle w:val="FirstParagraph"/>
      </w:pPr>
      <w:r>
        <w:drawing>
          <wp:inline>
            <wp:extent cx="5486400" cy="5963910"/>
            <wp:effectExtent b="0" l="0" r="0" t="0"/>
            <wp:docPr descr="diagram" title="" id="16" name="Picture"/>
            <a:graphic>
              <a:graphicData uri="http://schemas.openxmlformats.org/drawingml/2006/picture">
                <pic:pic>
                  <pic:nvPicPr>
                    <pic:cNvPr descr="/var/folders/qp/kgh35t792k9gxlvcy01r69pc0000gp/T/resized-d2-c3dc8a9b95.png" id="17" name="Picture"/>
                    <pic:cNvPicPr>
                      <a:picLocks noChangeArrowheads="1"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9639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r>
        <w:pict>
          <v:rect style="width:0;height:1.5pt" o:hralign="center" o:hrstd="t" o:hr="t"/>
        </w:pict>
      </w:r>
    </w:p>
    <w:bookmarkEnd w:id="18"/>
    <w:bookmarkStart w:id="22" w:name="改革事项二全流程线上办理协同平台"/>
    <w:p>
      <w:pPr>
        <w:pStyle w:val="Heading3"/>
      </w:pPr>
      <w:r>
        <w:rPr>
          <w:rFonts w:hint="eastAsia"/>
        </w:rPr>
        <w:t xml:space="preserve">改革事项二：全流程线上办理协同平台</w:t>
      </w:r>
    </w:p>
    <w:p>
      <w:pPr>
        <w:pStyle w:val="FirstParagraph"/>
      </w:pPr>
      <w:r>
        <w:drawing>
          <wp:inline>
            <wp:extent cx="5486400" cy="4283461"/>
            <wp:effectExtent b="0" l="0" r="0" t="0"/>
            <wp:docPr descr="diagram" title="" id="20" name="Picture"/>
            <a:graphic>
              <a:graphicData uri="http://schemas.openxmlformats.org/drawingml/2006/picture">
                <pic:pic>
                  <pic:nvPicPr>
                    <pic:cNvPr descr="/var/folders/qp/kgh35t792k9gxlvcy01r69pc0000gp/T/resized-d2-ed519b1633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2834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r>
        <w:pict>
          <v:rect style="width:0;height:1.5pt" o:hralign="center" o:hrstd="t" o:hr="t"/>
        </w:pict>
      </w:r>
    </w:p>
    <w:bookmarkEnd w:id="22"/>
    <w:bookmarkStart w:id="26" w:name="改革事项三电子证照归集复用服务机制"/>
    <w:p>
      <w:pPr>
        <w:pStyle w:val="Heading3"/>
      </w:pPr>
      <w:r>
        <w:rPr>
          <w:rFonts w:hint="eastAsia"/>
        </w:rPr>
        <w:t xml:space="preserve">改革事项三：电子证照归集复用服务机制</w:t>
      </w:r>
    </w:p>
    <w:p>
      <w:pPr>
        <w:pStyle w:val="FirstParagraph"/>
      </w:pPr>
      <w:r>
        <w:drawing>
          <wp:inline>
            <wp:extent cx="5486400" cy="7441395"/>
            <wp:effectExtent b="0" l="0" r="0" t="0"/>
            <wp:docPr descr="diagram" title="" id="24" name="Picture"/>
            <a:graphic>
              <a:graphicData uri="http://schemas.openxmlformats.org/drawingml/2006/picture">
                <pic:pic>
                  <pic:nvPicPr>
                    <pic:cNvPr descr="/var/folders/qp/kgh35t792k9gxlvcy01r69pc0000gp/T/resized-d2-17dd6d4790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4413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r>
        <w:pict>
          <v:rect style="width:0;height:1.5pt" o:hralign="center" o:hrstd="t" o:hr="t"/>
        </w:pict>
      </w:r>
    </w:p>
    <w:bookmarkEnd w:id="26"/>
    <w:bookmarkStart w:id="30" w:name="改革事项四办件监督与效能评估体系"/>
    <w:p>
      <w:pPr>
        <w:pStyle w:val="Heading3"/>
      </w:pPr>
      <w:r>
        <w:rPr>
          <w:rFonts w:hint="eastAsia"/>
        </w:rPr>
        <w:t xml:space="preserve">改革事项四：办件监督与效能评估体系</w:t>
      </w:r>
    </w:p>
    <w:p>
      <w:pPr>
        <w:pStyle w:val="FirstParagraph"/>
      </w:pPr>
      <w:r>
        <w:drawing>
          <wp:inline>
            <wp:extent cx="5486400" cy="7125194"/>
            <wp:effectExtent b="0" l="0" r="0" t="0"/>
            <wp:docPr descr="diagram" title="" id="28" name="Picture"/>
            <a:graphic>
              <a:graphicData uri="http://schemas.openxmlformats.org/drawingml/2006/picture">
                <pic:pic>
                  <pic:nvPicPr>
                    <pic:cNvPr descr="/var/folders/qp/kgh35t792k9gxlvcy01r69pc0000gp/T/resized-d2-d78ecc5a40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1251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r>
        <w:pict>
          <v:rect style="width:0;height:1.5pt" o:hralign="center" o:hrstd="t" o:hr="t"/>
        </w:pict>
      </w:r>
    </w:p>
    <w:bookmarkEnd w:id="30"/>
    <w:bookmarkStart w:id="34" w:name="改革事项五一网通办专项政策支撑"/>
    <w:p>
      <w:pPr>
        <w:pStyle w:val="Heading3"/>
      </w:pPr>
      <w:r>
        <w:rPr>
          <w:rFonts w:hint="eastAsia"/>
        </w:rPr>
        <w:t xml:space="preserve">改革事项五：一网通办专项政策支撑</w:t>
      </w:r>
    </w:p>
    <w:p>
      <w:pPr>
        <w:pStyle w:val="FirstParagraph"/>
      </w:pPr>
      <w:r>
        <w:drawing>
          <wp:inline>
            <wp:extent cx="5486400" cy="7315200"/>
            <wp:effectExtent b="0" l="0" r="0" t="0"/>
            <wp:docPr descr="diagram" title="" id="32" name="Picture"/>
            <a:graphic>
              <a:graphicData uri="http://schemas.openxmlformats.org/drawingml/2006/picture">
                <pic:pic>
                  <pic:nvPicPr>
                    <pic:cNvPr descr="/var/folders/qp/kgh35t792k9gxlvcy01r69pc0000gp/T/resized-d2-8e7499ec90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r>
        <w:pict>
          <v:rect style="width:0;height:1.5pt" o:hralign="center" o:hrstd="t" o:hr="t"/>
        </w:pict>
      </w:r>
    </w:p>
    <w:bookmarkEnd w:id="34"/>
    <w:bookmarkEnd w:id="35"/>
    <w:bookmarkStart w:id="37" w:name="改革成效汇总"/>
    <w:p>
      <w:pPr>
        <w:pStyle w:val="Heading2"/>
      </w:pPr>
      <w:r>
        <w:rPr>
          <w:rFonts w:hint="eastAsia"/>
        </w:rPr>
        <w:t xml:space="preserve">改革成效汇总</w:t>
      </w:r>
    </w:p>
    <w:bookmarkStart w:id="36" w:name="量化指标对比"/>
    <w:p>
      <w:pPr>
        <w:pStyle w:val="Heading3"/>
      </w:pPr>
      <w:r>
        <w:rPr>
          <w:rFonts w:hint="eastAsia"/>
        </w:rPr>
        <w:t xml:space="preserve">量化指标对比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800"/>
        <w:gridCol w:w="1440"/>
        <w:gridCol w:w="1440"/>
        <w:gridCol w:w="1440"/>
        <w:gridCol w:w="180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改革事项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改革前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改革后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改善幅度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事项标准化管理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事项标准覆盖率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[待填写]%</w:t>
            </w:r>
          </w:p>
        </w:tc>
        <w:tc>
          <w:tcPr/>
          <w:p>
            <w:pPr>
              <w:pStyle w:val="Compact"/>
            </w:pPr>
            <w:r>
              <w:t xml:space="preserve">100%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全流程线上办理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流程闭环覆盖率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[待填写]%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95%以上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全流程线上办理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平均办理时限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[待填写]天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压缩[待填写]%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电子证照归集复用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电子证照复用率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[待填写]%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80%以上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电子证照归集复用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群众平均提交材料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[待填写]份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少提交[待填写]份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办件监督与效能评估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超期办理率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[待填写]%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降低[待填写]%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办件监督与效能评估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群众满意度参与率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[待填写]%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提升至[待填写]%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36"/>
    <w:bookmarkEnd w:id="37"/>
    <w:bookmarkStart w:id="40" w:name="核心变化总结"/>
    <w:p>
      <w:pPr>
        <w:pStyle w:val="Heading2"/>
      </w:pPr>
      <w:r>
        <w:rPr>
          <w:rFonts w:hint="eastAsia"/>
        </w:rPr>
        <w:t xml:space="preserve">核心变化总结</w:t>
      </w:r>
    </w:p>
    <w:bookmarkStart w:id="38" w:name="三个维度优化"/>
    <w:p>
      <w:pPr>
        <w:pStyle w:val="Heading3"/>
      </w:pPr>
      <w:r>
        <w:rPr>
          <w:rFonts w:hint="eastAsia"/>
        </w:rPr>
        <w:t xml:space="preserve">三个维度优化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维度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改革前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改革后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压缩环节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多窗跑、多次跑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一口受理、一次提交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智能环节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人工核验、人工统计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AI比对、实时预警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创新环节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被动响应、事后监督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主动服务、效能排名</w:t>
            </w:r>
          </w:p>
        </w:tc>
      </w:tr>
    </w:tbl>
    <w:bookmarkEnd w:id="38"/>
    <w:bookmarkStart w:id="39" w:name="关键突破"/>
    <w:p>
      <w:pPr>
        <w:pStyle w:val="Heading3"/>
      </w:pPr>
      <w:r>
        <w:rPr>
          <w:rFonts w:hint="eastAsia"/>
        </w:rPr>
        <w:t xml:space="preserve">关键突破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体制性障碍突破</w:t>
      </w:r>
      <w:r>
        <w:rPr>
          <w:rFonts w:hint="eastAsia"/>
        </w:rPr>
        <w:t xml:space="preserve">：事项标准从28个部门分散管理收归政务服务管理局统一管理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机制性梗阻打通</w:t>
      </w:r>
      <w:r>
        <w:rPr>
          <w:rFonts w:hint="eastAsia"/>
        </w:rPr>
        <w:t xml:space="preserve">：896项政务服务事项实现”一口受理、分工办理”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政策空白填补</w:t>
      </w:r>
      <w:r>
        <w:rPr>
          <w:rFonts w:hint="eastAsia"/>
        </w:rPr>
        <w:t xml:space="preserve">：电子证照应用有法可依、数据共享有章可循</w:t>
      </w:r>
    </w:p>
    <w:p>
      <w:r>
        <w:pict>
          <v:rect style="width:0;height:1.5pt" o:hralign="center" o:hrstd="t" o:hr="t"/>
        </w:pict>
      </w:r>
    </w:p>
    <w:bookmarkEnd w:id="39"/>
    <w:bookmarkEnd w:id="40"/>
    <w:bookmarkStart w:id="41" w:name="数据替换清单"/>
    <w:p>
      <w:pPr>
        <w:pStyle w:val="Heading2"/>
      </w:pPr>
      <w:r>
        <w:rPr>
          <w:rFonts w:hint="eastAsia"/>
        </w:rPr>
        <w:t xml:space="preserve">数据替换清单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序号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占位符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建议获取渠道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[待填写]%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事项标准当前覆盖率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政务服务管理局自查报告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[待填写]天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平均办理时限当前值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政务服务管理局督查报告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[待填写]%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流程闭环覆盖率当前值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一体化政务服务平台统计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[待填写]%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电子证照复用率当前值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电子证照库运营报告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[待填写]份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群众平均提交材料份数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政务服务满意度调查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[待填写]%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超期办理率当前值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效能监控系统统计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[待填写]%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群众满意度评价参与率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好差评系统统计</w:t>
            </w:r>
          </w:p>
        </w:tc>
      </w:tr>
    </w:tbl>
    <w:p>
      <w:r>
        <w:pict>
          <v:rect style="width:0;height:1.5pt" o:hralign="center" o:hrstd="t" o:hr="t"/>
        </w:pict>
      </w:r>
    </w:p>
    <w:p>
      <w:pPr>
        <w:pStyle w:val="BlockText"/>
      </w:pPr>
      <w:r>
        <w:rPr>
          <w:rFonts w:hint="eastAsia"/>
          <w:b/>
          <w:bCs/>
        </w:rPr>
        <w:t xml:space="preserve">产出物说明</w:t>
      </w:r>
      <w:r>
        <w:rPr>
          <w:rFonts w:hint="eastAsia"/>
        </w:rPr>
        <w:t xml:space="preserve">：本流程再造对比图基于改革清单五大改革事项构建，展示了政务服务”一网通办”改革在体制性障碍、机制性梗阻、政策空白三个维度上的突破。图表使用D2语法绘制，确保转换为Word文档后布局清晰、渲染正确。</w:t>
      </w:r>
    </w:p>
    <w:bookmarkEnd w:id="41"/>
    <w:bookmarkEnd w:id="42"/>
    <w:sectPr w:rsidR="00FC693F" w:rsidRPr="0006063C" w:rsidSect="00034616">
      <w:pgSz w:h="15840" w:w="12240"/>
      <w:pgMar w:bottom="1440" w:footer="720" w:gutter="0" w:header="720" w:left="1800" w:right="1800" w:top="144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rPr>
      <w:rFonts w:ascii="宋体" w:eastAsia="宋体" w:hAnsi="宋体"/>
      <w:sz w:val="21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480"/>
      <w:outlineLvl w:val="0"/>
    </w:pPr>
    <w:rPr>
      <w:rFonts w:ascii="黑体" w:asciiTheme="majorHAnsi" w:cstheme="majorBidi" w:eastAsia="黑体" w:eastAsiaTheme="majorEastAsia" w:hAnsi="黑体" w:hAnsiTheme="majorHAnsi"/>
      <w:b/>
      <w:bCs/>
      <w:color w:themeColor="accent1" w:themeShade="BF" w:val="365F91"/>
      <w:sz w:val="4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0" w:before="200"/>
      <w:outlineLvl w:val="1"/>
    </w:pPr>
    <w:rPr>
      <w:rFonts w:ascii="黑体" w:asciiTheme="majorHAnsi" w:cstheme="majorBidi" w:eastAsia="黑体" w:eastAsiaTheme="majorEastAsia" w:hAnsi="黑体" w:hAnsiTheme="majorHAnsi"/>
      <w:b/>
      <w:bCs/>
      <w:color w:themeColor="accent1" w:val="4F81BD"/>
      <w:sz w:val="32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="黑体" w:asciiTheme="majorHAnsi" w:cstheme="majorBidi" w:eastAsia="黑体" w:eastAsiaTheme="majorEastAsia" w:hAnsi="黑体" w:hAnsiTheme="majorHAnsi"/>
      <w:b/>
      <w:bCs/>
      <w:color w:themeColor="accent1" w:val="4F81BD"/>
      <w:sz w:val="28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="黑体" w:asciiTheme="majorHAnsi" w:cstheme="majorBidi" w:eastAsia="黑体" w:eastAsiaTheme="majorEastAsia" w:hAnsi="黑体" w:hAnsiTheme="majorHAnsi"/>
      <w:b/>
      <w:bCs/>
      <w:i/>
      <w:iCs/>
      <w:color w:themeColor="accent1" w:val="4F81BD"/>
      <w:sz w:val="24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customStyle="1" w:styleId="Table" w:type="table">
    <w:tblPr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  <w:name w:val="Table"/>
    <w:tblStylePr w:type="firstRow">
      <w:rPr>
        <w:b/>
      </w:r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23" Target="media/rId23.png" /><Relationship Type="http://schemas.openxmlformats.org/officeDocument/2006/relationships/image" Id="rId10" Target="media/rId10.png" /><Relationship Type="http://schemas.openxmlformats.org/officeDocument/2006/relationships/image" Id="rId31" Target="media/rId31.png" /><Relationship Type="http://schemas.openxmlformats.org/officeDocument/2006/relationships/image" Id="rId15" Target="media/rId15.png" /><Relationship Type="http://schemas.openxmlformats.org/officeDocument/2006/relationships/image" Id="rId27" Target="media/rId27.png" /><Relationship Type="http://schemas.openxmlformats.org/officeDocument/2006/relationships/image" Id="rId19" Target="media/rId1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2026-04-07T14:26:56Z</dcterms:created>
  <dcterms:modified xsi:type="dcterms:W3CDTF">2026-04-07T14:26:56Z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